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8" w:rsidRDefault="00CF43C6" w:rsidP="00CF43C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lang w:val="ro-RO" w:eastAsia="en-GB"/>
        </w:rPr>
      </w:pPr>
      <w:r w:rsidRPr="00CF43C6">
        <w:rPr>
          <w:rFonts w:ascii="Arial" w:eastAsia="Times New Roman" w:hAnsi="Arial" w:cs="Arial"/>
          <w:b/>
          <w:bCs/>
          <w:kern w:val="36"/>
          <w:sz w:val="24"/>
          <w:szCs w:val="24"/>
          <w:lang w:val="ro-RO" w:eastAsia="en-GB"/>
        </w:rPr>
        <w:t>Cum să angajezi și să păstrezi talentul</w:t>
      </w:r>
    </w:p>
    <w:p w:rsidR="00CF43C6" w:rsidRPr="00A77578" w:rsidRDefault="00CF43C6" w:rsidP="00CF43C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lang w:val="ro-RO" w:eastAsia="en-GB"/>
        </w:rPr>
      </w:pPr>
    </w:p>
    <w:p w:rsidR="00CF43C6" w:rsidRPr="00CF43C6" w:rsidRDefault="00CF43C6" w:rsidP="00CF43C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CF43C6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Atragerea și păstrarea celor mai potriviți angajați pentru IMM-uri poate fi dificilă. Proiectul TALENT, finanțat de UE, recomandă cum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să faci asta</w:t>
      </w:r>
      <w:r w:rsidRPr="00CF43C6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.</w:t>
      </w:r>
    </w:p>
    <w:p w:rsidR="00CF43C6" w:rsidRPr="00CF43C6" w:rsidRDefault="00CF43C6" w:rsidP="00CF43C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CF43C6" w:rsidRDefault="00CF43C6" w:rsidP="00CF43C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CF43C6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Inovațiile de mâine vor introduce cea de-a patra revoluție industrială, fuzionand lumea digitală, fizică și biologică. În acest</w:t>
      </w:r>
      <w:r w:rsidR="0050362B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ă piață a muncii</w:t>
      </w:r>
      <w:r w:rsidRPr="00CF43C6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în </w:t>
      </w:r>
      <w:r w:rsidR="0050362B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continuă </w:t>
      </w:r>
      <w:r w:rsidRPr="00CF43C6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schimbare, unde unele locuri de muncă nici măcar nu au fost imaginate încă, este important ca competitivitatea IMM-urilor europene să atragă și să păstreze oameni calificați corespunzător.</w:t>
      </w:r>
    </w:p>
    <w:p w:rsidR="00CF43C6" w:rsidRDefault="00CF43C6" w:rsidP="00CF43C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50362B" w:rsidRPr="0050362B" w:rsidRDefault="0050362B" w:rsidP="0050362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50362B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Remediind deficitul de comp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etențe, UE a desemnat anul 2023 </w:t>
      </w:r>
      <w:r w:rsidRPr="0050362B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Anul european al competențelor pentru a îmbunătăți competențele și a recalifica europenii pe drumul către tranziția digitală și ecologică a Europei.</w:t>
      </w:r>
      <w:r w:rsidRPr="0050362B">
        <w:t xml:space="preserve"> </w:t>
      </w:r>
      <w:r w:rsidRPr="0050362B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De asemenea, UE a lucrat pentru a primi talente internaționale prin intermediul parteneriatelor pentru talente.</w:t>
      </w:r>
    </w:p>
    <w:p w:rsidR="0050362B" w:rsidRPr="0050362B" w:rsidRDefault="0050362B" w:rsidP="0050362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50362B" w:rsidRPr="0050362B" w:rsidRDefault="0050362B" w:rsidP="0050362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o-RO" w:eastAsia="en-GB"/>
        </w:rPr>
      </w:pPr>
      <w:r w:rsidRPr="0050362B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o-RO" w:eastAsia="en-GB"/>
        </w:rPr>
        <w:t>Secretele pentru atragerea talentelor</w:t>
      </w:r>
    </w:p>
    <w:p w:rsidR="00A77578" w:rsidRPr="00A77578" w:rsidRDefault="0050362B" w:rsidP="0050362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50362B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Deci, care sunt ingredientele magice atunci când căutați să angajați și să păstrați cel mai potrivit talent?</w:t>
      </w:r>
    </w:p>
    <w:p w:rsidR="00A77578" w:rsidRDefault="00A77578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A77578" w:rsidRPr="00A77578" w:rsidRDefault="00EF62CD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EF62CD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Proiectul Talent Attractiveness, A Competitive Edge for European SMEs (TALENT), finanțat de UE, a identificat cele mai bune practici în atragerea, reținerea și creșterea talentelor pentru IMM-urile locale, făcând echipă cu trei instituții europene de dezvoltare și inovare din Lyon, Berlin și Rotterdam. Împreună, au studiat și îmbunătățit metodologiile care pot fi reproduse cu ușurință în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toate țările din</w:t>
      </w:r>
      <w:r w:rsidRPr="00EF62CD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UE.</w:t>
      </w:r>
    </w:p>
    <w:p w:rsidR="00A77578" w:rsidRPr="00A77578" w:rsidRDefault="00A77578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EF62CD" w:rsidRPr="00EF62CD" w:rsidRDefault="00EF62CD" w:rsidP="00EF62C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o-RO" w:eastAsia="en-GB"/>
        </w:rPr>
      </w:pPr>
      <w:r w:rsidRPr="00EF62CD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o-RO" w:eastAsia="en-GB"/>
        </w:rPr>
        <w:t>Echilibrul dintre viața profesională și viața privată este cheia</w:t>
      </w:r>
    </w:p>
    <w:p w:rsidR="00EF62CD" w:rsidRDefault="00EF62CD" w:rsidP="00EF62C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EF62CD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>„Nu există niciun glonț de argint în această provocare”</w:t>
      </w:r>
      <w:r w:rsidRPr="00EF62CD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, explică Cédric Grignard, director New Business &amp; Innovation, Sustainable &amp; Resilient Ci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ties la agenția Invest in Lyon. </w:t>
      </w:r>
      <w:r w:rsidRPr="00EF62CD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Rezultatul unanim împărtășit este necesitatea ca toți actorii economici (inclusiv mediul academic) să fie implicați și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să conducă</w:t>
      </w:r>
      <w:r w:rsidRPr="00EF62CD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în această provocare.</w:t>
      </w:r>
    </w:p>
    <w:p w:rsidR="00EF62CD" w:rsidRDefault="00EF62CD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A77578" w:rsidRDefault="00EF62CD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EF62CD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 xml:space="preserve">„IMM-urile vor putea foarte rar să atragă sau să rețină talente dacă orașul nu oferă un echilibru adecvat între muncă și viață și standarde de calitate a vieții – inclusiv un </w:t>
      </w:r>
      <w:r w:rsidRPr="00EF62CD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lastRenderedPageBreak/>
        <w:t>cost rezonabil al vieții; dacă universitățile și școlile de învățământ superior nu integrează nevoile și așteptările IMM-urilor pentru studenții pregătiți pentru muncă; dacă Agențiile de Promovare a Investițiilor nu își joacă rolul de a face lobby la autorități, de a conecta actorii, de a facilita dialogul și de a prezenta ceea ce funcționează. Această inteligență colectivă și munca colaborativă nu este surprinzătoare, dar este cu siguranță o necesitate în acest context”,</w:t>
      </w:r>
      <w:r w:rsidRPr="00EF62CD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explică Grignard.</w:t>
      </w:r>
    </w:p>
    <w:p w:rsidR="00EF62CD" w:rsidRPr="00A77578" w:rsidRDefault="00EF62CD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182BF9" w:rsidRPr="00182BF9" w:rsidRDefault="00182BF9" w:rsidP="00182BF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o-RO" w:eastAsia="en-GB"/>
        </w:rPr>
      </w:pPr>
      <w:r w:rsidRPr="00182BF9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ro-RO" w:eastAsia="en-GB"/>
        </w:rPr>
        <w:t>Cele mai bune practici din trei orașe europene</w:t>
      </w:r>
    </w:p>
    <w:p w:rsidR="00A77578" w:rsidRDefault="00182BF9" w:rsidP="00182BF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182BF9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Pe lângă Lyon, a cărei agenție Invest in Lyon a condus proiectul, Berlin Partner și Rotterdam Partners au fost aleși să participe, datorită relațiilor „excelente”.</w:t>
      </w:r>
    </w:p>
    <w:p w:rsidR="00A97F02" w:rsidRPr="00A77578" w:rsidRDefault="00A97F02" w:rsidP="00182BF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A77578" w:rsidRPr="00A77578" w:rsidRDefault="00A97F02" w:rsidP="00A97F0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A97F02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 xml:space="preserve">„În plus, ideea a fost de a aduna entități la nivel de oraș în care provocările au fost abordate și împărtășite, și cu oameni care erau dispuși să colaboreze,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>fiind conștienți</w:t>
      </w:r>
      <w:r w:rsidRPr="00A97F02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 xml:space="preserve"> că suntem mai puternici împreună”,</w:t>
      </w: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notează Grignard.</w:t>
      </w:r>
    </w:p>
    <w:p w:rsidR="00A77578" w:rsidRPr="00A77578" w:rsidRDefault="00A77578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A77578" w:rsidRPr="00A77578" w:rsidRDefault="00A97F02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Fiecare dintre cele trei agenții de promovare a investițiilor se afla într-un </w:t>
      </w:r>
      <w:r w:rsidRPr="00A97F02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 xml:space="preserve">„alt stadiu de maturitate când vine vorba de inițiative de acces la talent pentru IMM-uri, cu active regionale diferențiate: Berlin cu o poziție excepțională de talent în Germania; Rotterdam cu o pozitie internationala de exceptie in Olanda; Lyon cu o poziție excepțională de echilibru între viața profesională și viața privată în Franța”, </w:t>
      </w: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adaugă el.</w:t>
      </w:r>
    </w:p>
    <w:p w:rsidR="00A77578" w:rsidRDefault="00A77578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</w:p>
    <w:p w:rsidR="00A97F02" w:rsidRPr="00A77578" w:rsidRDefault="00A97F02" w:rsidP="00A775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</w:pP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Procesele de învățare de la egal la egal la cele trei agenții de promovare a investițiilor le-au determ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inat să dezvolte metodologii pentru </w:t>
      </w: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15 luni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de proiect</w:t>
      </w: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, în valoare de 50</w:t>
      </w:r>
      <w:r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>.</w:t>
      </w: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000 EUR, care s-a încheiat în primăvara anului 2022. În concluzie, așa cum se spune, </w:t>
      </w:r>
      <w:r w:rsidRPr="00A97F02">
        <w:rPr>
          <w:rFonts w:ascii="Arial" w:eastAsia="Times New Roman" w:hAnsi="Arial" w:cs="Arial"/>
          <w:bCs/>
          <w:i/>
          <w:kern w:val="36"/>
          <w:sz w:val="24"/>
          <w:szCs w:val="24"/>
          <w:lang w:val="ro-RO" w:eastAsia="en-GB"/>
        </w:rPr>
        <w:t>„este nevoie de un întreg sat”</w:t>
      </w:r>
      <w:r w:rsidRPr="00A97F02">
        <w:rPr>
          <w:rFonts w:ascii="Arial" w:eastAsia="Times New Roman" w:hAnsi="Arial" w:cs="Arial"/>
          <w:bCs/>
          <w:kern w:val="36"/>
          <w:sz w:val="24"/>
          <w:szCs w:val="24"/>
          <w:lang w:val="ro-RO" w:eastAsia="en-GB"/>
        </w:rPr>
        <w:t xml:space="preserve"> pentru a atrage și a păstra angajați calificați, cu diverse părți interesate care lucrează pentru a se asigura că talentul internațional (și local) se bucură, printre alți parametri, de un bun standard de viață și de un sentiment de comunitate.</w:t>
      </w:r>
    </w:p>
    <w:p w:rsidR="00C25607" w:rsidRDefault="00C25607" w:rsidP="00C25607">
      <w:pPr>
        <w:pStyle w:val="HTMLPreformatted"/>
        <w:jc w:val="both"/>
        <w:rPr>
          <w:rFonts w:ascii="Arial" w:hAnsi="Arial" w:cs="Arial"/>
          <w:i/>
          <w:noProof/>
          <w:color w:val="333333"/>
          <w:sz w:val="22"/>
          <w:szCs w:val="22"/>
          <w:lang w:val="ro-RO"/>
        </w:rPr>
      </w:pPr>
    </w:p>
    <w:p w:rsidR="00A77578" w:rsidRPr="0045470A" w:rsidRDefault="00A77578" w:rsidP="00C25607">
      <w:pPr>
        <w:pStyle w:val="HTMLPreformatted"/>
        <w:jc w:val="both"/>
        <w:rPr>
          <w:rFonts w:ascii="Arial" w:hAnsi="Arial" w:cs="Arial"/>
          <w:i/>
          <w:noProof/>
          <w:color w:val="333333"/>
          <w:sz w:val="22"/>
          <w:szCs w:val="22"/>
          <w:lang w:val="ro-RO"/>
        </w:rPr>
      </w:pPr>
    </w:p>
    <w:p w:rsidR="00C25607" w:rsidRPr="0045470A" w:rsidRDefault="00C25607" w:rsidP="00C25607">
      <w:pPr>
        <w:pStyle w:val="HTMLPreformatted"/>
        <w:jc w:val="both"/>
        <w:rPr>
          <w:rFonts w:ascii="Arial" w:hAnsi="Arial" w:cs="Arial"/>
          <w:i/>
          <w:noProof/>
          <w:color w:val="333333"/>
          <w:sz w:val="22"/>
          <w:szCs w:val="22"/>
          <w:lang w:val="ro-RO"/>
        </w:rPr>
      </w:pPr>
      <w:r w:rsidRPr="0045470A">
        <w:rPr>
          <w:rFonts w:ascii="Arial" w:hAnsi="Arial" w:cs="Arial"/>
          <w:i/>
          <w:noProof/>
          <w:color w:val="333333"/>
          <w:sz w:val="22"/>
          <w:szCs w:val="22"/>
          <w:lang w:val="ro-RO"/>
        </w:rPr>
        <w:t>Articol tradus de Madalina Coman</w:t>
      </w:r>
    </w:p>
    <w:p w:rsidR="00257CC1" w:rsidRPr="006E69BB" w:rsidRDefault="00C25607" w:rsidP="00EF2E7D">
      <w:pPr>
        <w:spacing w:after="0" w:line="240" w:lineRule="auto"/>
        <w:jc w:val="both"/>
        <w:rPr>
          <w:rFonts w:ascii="Arial" w:hAnsi="Arial" w:cs="Arial"/>
          <w:i/>
          <w:color w:val="333333"/>
          <w:shd w:val="clear" w:color="auto" w:fill="FFFFFF"/>
          <w:lang w:val="ro-RO"/>
        </w:rPr>
      </w:pPr>
      <w:r w:rsidRPr="0045470A">
        <w:rPr>
          <w:rFonts w:ascii="Arial" w:hAnsi="Arial" w:cs="Arial"/>
          <w:i/>
          <w:color w:val="202124"/>
          <w:lang w:val="ro-RO"/>
        </w:rPr>
        <w:t>Sursa:</w:t>
      </w:r>
      <w:r w:rsidR="00BC4686" w:rsidRPr="00BC4686">
        <w:t xml:space="preserve"> </w:t>
      </w:r>
      <w:hyperlink r:id="rId5" w:history="1">
        <w:r w:rsidR="00A77578" w:rsidRPr="00E31F58">
          <w:rPr>
            <w:rStyle w:val="Hyperlink"/>
            <w:rFonts w:ascii="Arial" w:hAnsi="Arial" w:cs="Arial"/>
            <w:i/>
          </w:rPr>
          <w:t>https://cordis.europa.eu/article/id/442274-how-to-hire-and-hold-on-to-talent</w:t>
        </w:r>
      </w:hyperlink>
      <w:r w:rsidR="00A77578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257CC1" w:rsidRPr="006E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1"/>
    <w:rsid w:val="001620CB"/>
    <w:rsid w:val="00182BF9"/>
    <w:rsid w:val="00257CC1"/>
    <w:rsid w:val="0029170A"/>
    <w:rsid w:val="0045470A"/>
    <w:rsid w:val="004811DF"/>
    <w:rsid w:val="0050362B"/>
    <w:rsid w:val="005B3270"/>
    <w:rsid w:val="006415EB"/>
    <w:rsid w:val="006D0D62"/>
    <w:rsid w:val="006E69BB"/>
    <w:rsid w:val="008E7F78"/>
    <w:rsid w:val="00A434EC"/>
    <w:rsid w:val="00A77578"/>
    <w:rsid w:val="00A97F02"/>
    <w:rsid w:val="00BC4686"/>
    <w:rsid w:val="00C25607"/>
    <w:rsid w:val="00CF43C6"/>
    <w:rsid w:val="00D428A9"/>
    <w:rsid w:val="00EF2E7D"/>
    <w:rsid w:val="00E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-teaser">
    <w:name w:val="c-teaser"/>
    <w:basedOn w:val="Normal"/>
    <w:rsid w:val="002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7CC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60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-articletext">
    <w:name w:val="c-article__text"/>
    <w:basedOn w:val="Normal"/>
    <w:rsid w:val="008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-teaser">
    <w:name w:val="c-teaser"/>
    <w:basedOn w:val="Normal"/>
    <w:rsid w:val="002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7CC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60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-articletext">
    <w:name w:val="c-article__text"/>
    <w:basedOn w:val="Normal"/>
    <w:rsid w:val="008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article/id/442274-how-to-hire-and-hold-on-to-tal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2022-10-25T12:18:00Z</dcterms:created>
  <dcterms:modified xsi:type="dcterms:W3CDTF">2022-11-01T11:41:00Z</dcterms:modified>
</cp:coreProperties>
</file>