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DF" w:rsidRPr="009F17DF" w:rsidRDefault="009F17DF" w:rsidP="009F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b/>
          <w:noProof/>
          <w:color w:val="202124"/>
          <w:lang w:val="ro-RO" w:eastAsia="en-GB"/>
        </w:rPr>
      </w:pPr>
      <w:r w:rsidRPr="009F17DF">
        <w:rPr>
          <w:rFonts w:ascii="Arial" w:eastAsia="Times New Roman" w:hAnsi="Arial" w:cs="Arial"/>
          <w:b/>
          <w:noProof/>
          <w:color w:val="202124"/>
          <w:lang w:val="ro-RO" w:eastAsia="en-GB"/>
        </w:rPr>
        <w:t>Comisia salută obiectivele statelor membre pentru o Europă mai socială până în 2030</w:t>
      </w:r>
    </w:p>
    <w:p w:rsidR="004C2C0E" w:rsidRPr="009F17DF" w:rsidRDefault="004C2C0E" w:rsidP="009F17DF">
      <w:pPr>
        <w:jc w:val="both"/>
        <w:rPr>
          <w:noProof/>
          <w:lang w:val="ro-RO"/>
        </w:rPr>
      </w:pPr>
    </w:p>
    <w:p w:rsidR="009F17DF" w:rsidRDefault="009F17DF" w:rsidP="009F17DF">
      <w:pPr>
        <w:spacing w:after="0" w:line="480" w:lineRule="auto"/>
        <w:jc w:val="both"/>
        <w:rPr>
          <w:rFonts w:ascii="Arial" w:hAnsi="Arial" w:cs="Arial"/>
          <w:noProof/>
          <w:lang w:val="ro-RO"/>
        </w:rPr>
      </w:pPr>
      <w:r w:rsidRPr="009F17DF">
        <w:rPr>
          <w:rFonts w:ascii="Arial" w:hAnsi="Arial" w:cs="Arial"/>
          <w:noProof/>
          <w:lang w:val="ro-RO"/>
        </w:rPr>
        <w:t>La reuniunea din data de 16 iunie 2022, miniștrii Ocupării Forței de Muncă și Afacerilor Sociale din UE și-au prezentat obiectivele naționale de a realiza Pilonul European al Planului de Acțiune al Drepturilor Sociale până în 2030. Comisia salută angajamentul ferm al statelor membre de a face Europa echitabilă, incluzivă și plină de oportunități. Prin angajamentele lor naționale, statele membre sprijină eforturile comune de a atinge cele trei obiective principale ale UE pentru ocuparea forței de muncă, competențe și reducerea sărăciei.</w:t>
      </w:r>
    </w:p>
    <w:p w:rsidR="009F17DF" w:rsidRPr="009F17DF" w:rsidRDefault="009F17DF" w:rsidP="009F17DF">
      <w:pPr>
        <w:spacing w:after="0" w:line="480" w:lineRule="auto"/>
        <w:jc w:val="both"/>
        <w:rPr>
          <w:rFonts w:ascii="Arial" w:hAnsi="Arial" w:cs="Arial"/>
          <w:noProof/>
          <w:lang w:val="ro-RO"/>
        </w:rPr>
      </w:pPr>
    </w:p>
    <w:p w:rsidR="009F17DF" w:rsidRDefault="009F17DF" w:rsidP="009F17DF">
      <w:pPr>
        <w:spacing w:after="0" w:line="480" w:lineRule="auto"/>
        <w:jc w:val="both"/>
        <w:rPr>
          <w:rFonts w:ascii="Arial" w:hAnsi="Arial" w:cs="Arial"/>
          <w:i/>
          <w:noProof/>
          <w:lang w:val="ro-RO"/>
        </w:rPr>
      </w:pPr>
      <w:r w:rsidRPr="009F17DF">
        <w:rPr>
          <w:rFonts w:ascii="Arial" w:hAnsi="Arial" w:cs="Arial"/>
          <w:noProof/>
          <w:lang w:val="ro-RO"/>
        </w:rPr>
        <w:t xml:space="preserve">Comisarul pentru locuri de muncă și drepturi sociale, Nicolas Schmit, a declarat: </w:t>
      </w:r>
      <w:r w:rsidRPr="009F17DF">
        <w:rPr>
          <w:rFonts w:ascii="Arial" w:hAnsi="Arial" w:cs="Arial"/>
          <w:i/>
          <w:noProof/>
          <w:lang w:val="ro-RO"/>
        </w:rPr>
        <w:t>„La Summit-ul social de la Porto, toți liderii și partenerii UE au fost de acord că este timpul să realizăm o Europă socială puternică. Comisia a stabilit trei obiective ambițioase, dar realiste, pentru a menține un nivel ridicat de ocupare a forței de muncă, pentru a integra învățarea pe tot parcursul vieții în economia noastră socială de piață și pentru a reduce sărăcia, inclusiv sărăcia copiilor. Angajamentele făcute astăzi de statele membre demonstrează angajamentul lor de a îndeplini aceste obiective. Acum începe munca grea.”</w:t>
      </w:r>
    </w:p>
    <w:p w:rsidR="009F17DF" w:rsidRDefault="009F17DF" w:rsidP="009F17DF">
      <w:pPr>
        <w:spacing w:after="0" w:line="480" w:lineRule="auto"/>
        <w:jc w:val="both"/>
        <w:rPr>
          <w:rFonts w:ascii="Arial" w:hAnsi="Arial" w:cs="Arial"/>
          <w:noProof/>
          <w:lang w:val="ro-RO"/>
        </w:rPr>
      </w:pPr>
    </w:p>
    <w:p w:rsidR="009F17DF" w:rsidRPr="009F17DF" w:rsidRDefault="009F17DF" w:rsidP="009F17DF">
      <w:pPr>
        <w:spacing w:after="0" w:line="480" w:lineRule="auto"/>
        <w:jc w:val="both"/>
        <w:rPr>
          <w:rFonts w:ascii="Arial" w:hAnsi="Arial" w:cs="Arial"/>
          <w:noProof/>
          <w:u w:val="single"/>
          <w:lang w:val="ro-RO"/>
        </w:rPr>
      </w:pPr>
      <w:r w:rsidRPr="009F17DF">
        <w:rPr>
          <w:rFonts w:ascii="Arial" w:hAnsi="Arial" w:cs="Arial"/>
          <w:noProof/>
          <w:u w:val="single"/>
          <w:lang w:val="ro-RO"/>
        </w:rPr>
        <w:t>Trei obiective sociale ale UE până în 2030</w:t>
      </w:r>
    </w:p>
    <w:p w:rsidR="009F17DF" w:rsidRPr="009F17DF" w:rsidRDefault="009F17DF" w:rsidP="009F17DF">
      <w:pPr>
        <w:spacing w:after="0" w:line="480" w:lineRule="auto"/>
        <w:jc w:val="both"/>
        <w:rPr>
          <w:rFonts w:ascii="Arial" w:hAnsi="Arial" w:cs="Arial"/>
          <w:noProof/>
          <w:lang w:val="ro-RO"/>
        </w:rPr>
      </w:pPr>
      <w:r w:rsidRPr="009F17DF">
        <w:rPr>
          <w:rFonts w:ascii="Arial" w:hAnsi="Arial" w:cs="Arial"/>
          <w:noProof/>
          <w:lang w:val="ro-RO"/>
        </w:rPr>
        <w:t>Planul de acțiune pentru Pilonul european al drepturilor sociale stabilește ambiția UE pentru o Europă socială puternică, care să se concentreze pe locuri de muncă, competențe și incluziune socială și include trei obiective sociale la nivelul UE care urmează să fie atinse până în 2030:</w:t>
      </w:r>
    </w:p>
    <w:p w:rsidR="009F17DF" w:rsidRPr="009F17DF" w:rsidRDefault="009F17DF" w:rsidP="009F17DF">
      <w:pPr>
        <w:pStyle w:val="ListParagraph"/>
        <w:numPr>
          <w:ilvl w:val="0"/>
          <w:numId w:val="1"/>
        </w:numPr>
        <w:spacing w:after="0" w:line="480" w:lineRule="auto"/>
        <w:jc w:val="both"/>
        <w:rPr>
          <w:rFonts w:ascii="Arial" w:hAnsi="Arial" w:cs="Arial"/>
          <w:noProof/>
          <w:lang w:val="ro-RO"/>
        </w:rPr>
      </w:pPr>
      <w:r w:rsidRPr="009F17DF">
        <w:rPr>
          <w:rFonts w:ascii="Arial" w:hAnsi="Arial" w:cs="Arial"/>
          <w:noProof/>
          <w:lang w:val="ro-RO"/>
        </w:rPr>
        <w:t>Cel puțin 78% dintre persoanele cu vârsta cuprinsă între 20 și 64 de ani ar trebui să aibă un loc de muncă.</w:t>
      </w:r>
    </w:p>
    <w:p w:rsidR="009F17DF" w:rsidRPr="009F17DF" w:rsidRDefault="009F17DF" w:rsidP="009F17DF">
      <w:pPr>
        <w:pStyle w:val="ListParagraph"/>
        <w:numPr>
          <w:ilvl w:val="0"/>
          <w:numId w:val="1"/>
        </w:numPr>
        <w:spacing w:after="0" w:line="480" w:lineRule="auto"/>
        <w:jc w:val="both"/>
        <w:rPr>
          <w:rFonts w:ascii="Arial" w:hAnsi="Arial" w:cs="Arial"/>
          <w:noProof/>
          <w:lang w:val="ro-RO"/>
        </w:rPr>
      </w:pPr>
      <w:r w:rsidRPr="009F17DF">
        <w:rPr>
          <w:rFonts w:ascii="Arial" w:hAnsi="Arial" w:cs="Arial"/>
          <w:noProof/>
          <w:lang w:val="ro-RO"/>
        </w:rPr>
        <w:t>Cel puțin 60% dintre adulții ar trebui să participe la formare în fiecare an.</w:t>
      </w:r>
    </w:p>
    <w:p w:rsidR="009F17DF" w:rsidRDefault="009F17DF" w:rsidP="009F17DF">
      <w:pPr>
        <w:pStyle w:val="ListParagraph"/>
        <w:numPr>
          <w:ilvl w:val="0"/>
          <w:numId w:val="1"/>
        </w:numPr>
        <w:spacing w:after="0" w:line="480" w:lineRule="auto"/>
        <w:jc w:val="both"/>
        <w:rPr>
          <w:rFonts w:ascii="Arial" w:hAnsi="Arial" w:cs="Arial"/>
          <w:noProof/>
          <w:lang w:val="ro-RO"/>
        </w:rPr>
      </w:pPr>
      <w:r w:rsidRPr="009F17DF">
        <w:rPr>
          <w:rFonts w:ascii="Arial" w:hAnsi="Arial" w:cs="Arial"/>
          <w:noProof/>
          <w:lang w:val="ro-RO"/>
        </w:rPr>
        <w:t>Numărul persoanelor expuse riscului de sărăcie sau excluziune socială ar trebui redus cu cel puțin 15 milioane, inclusiv cel puțin 5 milioane de copii, comparativ cu 2019.</w:t>
      </w:r>
    </w:p>
    <w:p w:rsidR="00686199" w:rsidRDefault="00686199" w:rsidP="009F17DF">
      <w:pPr>
        <w:spacing w:after="0" w:line="480" w:lineRule="auto"/>
        <w:jc w:val="both"/>
        <w:rPr>
          <w:rFonts w:ascii="Arial" w:hAnsi="Arial" w:cs="Arial"/>
          <w:noProof/>
          <w:u w:val="single"/>
          <w:lang w:val="ro-RO"/>
        </w:rPr>
      </w:pPr>
    </w:p>
    <w:p w:rsidR="009F17DF" w:rsidRPr="009F17DF" w:rsidRDefault="009F17DF" w:rsidP="009F17DF">
      <w:pPr>
        <w:spacing w:after="0" w:line="480" w:lineRule="auto"/>
        <w:jc w:val="both"/>
        <w:rPr>
          <w:rFonts w:ascii="Arial" w:hAnsi="Arial" w:cs="Arial"/>
          <w:noProof/>
          <w:u w:val="single"/>
          <w:lang w:val="ro-RO"/>
        </w:rPr>
      </w:pPr>
      <w:r w:rsidRPr="009F17DF">
        <w:rPr>
          <w:rFonts w:ascii="Arial" w:hAnsi="Arial" w:cs="Arial"/>
          <w:noProof/>
          <w:u w:val="single"/>
          <w:lang w:val="ro-RO"/>
        </w:rPr>
        <w:lastRenderedPageBreak/>
        <w:t>Toate statele membre se angajează să respecte obiectivele naționale</w:t>
      </w:r>
    </w:p>
    <w:p w:rsidR="009F17DF" w:rsidRPr="009F17DF" w:rsidRDefault="009F17DF" w:rsidP="009F17DF">
      <w:pPr>
        <w:spacing w:after="0" w:line="480" w:lineRule="auto"/>
        <w:jc w:val="both"/>
        <w:rPr>
          <w:rFonts w:ascii="Arial" w:hAnsi="Arial" w:cs="Arial"/>
          <w:noProof/>
          <w:lang w:val="ro-RO"/>
        </w:rPr>
      </w:pPr>
      <w:r w:rsidRPr="009F17DF">
        <w:rPr>
          <w:rFonts w:ascii="Arial" w:hAnsi="Arial" w:cs="Arial"/>
          <w:noProof/>
          <w:lang w:val="ro-RO"/>
        </w:rPr>
        <w:t>În planul de acțiune, Comisia a invitat Consiliul European să aprobe cele trei obiective principale ale UE și a cerut statelor membre să-și definească obiectivele naționale, ca o contribuție la acest efort comun. Toate statele membre au prezentat acum propuneri pentru obiectivele lor naționale pe care le-au prezentat la Consiliul EPSCO de astăzi. Țintele naționale vor contribui la ambiția comună de a atinge obiectivele principale ale UE până în 2030 în domeniile ocupării forței de muncă, competențelor și reducerii sărăciei.</w:t>
      </w:r>
    </w:p>
    <w:p w:rsidR="009F17DF" w:rsidRPr="009F17DF" w:rsidRDefault="009F17DF" w:rsidP="009F17DF">
      <w:pPr>
        <w:spacing w:after="0" w:line="480" w:lineRule="auto"/>
        <w:jc w:val="both"/>
        <w:rPr>
          <w:rFonts w:ascii="Arial" w:hAnsi="Arial" w:cs="Arial"/>
          <w:noProof/>
          <w:lang w:val="ro-RO"/>
        </w:rPr>
      </w:pPr>
    </w:p>
    <w:p w:rsidR="009F17DF" w:rsidRPr="009F17DF" w:rsidRDefault="009F17DF" w:rsidP="009F17DF">
      <w:pPr>
        <w:spacing w:after="0" w:line="480" w:lineRule="auto"/>
        <w:jc w:val="both"/>
        <w:rPr>
          <w:rFonts w:ascii="Arial" w:hAnsi="Arial" w:cs="Arial"/>
          <w:noProof/>
          <w:lang w:val="ro-RO"/>
        </w:rPr>
      </w:pPr>
      <w:r w:rsidRPr="009F17DF">
        <w:rPr>
          <w:rFonts w:ascii="Arial" w:hAnsi="Arial" w:cs="Arial"/>
          <w:noProof/>
          <w:lang w:val="ro-RO"/>
        </w:rPr>
        <w:t>Combinate, angajamentele statelor membre stabilesc UE pe calea atingerii sau chiar a depășirii obiectivelor principale ale UE:</w:t>
      </w:r>
    </w:p>
    <w:p w:rsidR="009F17DF" w:rsidRPr="009F17DF" w:rsidRDefault="009F17DF" w:rsidP="009F17DF">
      <w:pPr>
        <w:pStyle w:val="ListParagraph"/>
        <w:numPr>
          <w:ilvl w:val="0"/>
          <w:numId w:val="2"/>
        </w:numPr>
        <w:spacing w:after="0" w:line="480" w:lineRule="auto"/>
        <w:jc w:val="both"/>
        <w:rPr>
          <w:rFonts w:ascii="Arial" w:hAnsi="Arial" w:cs="Arial"/>
          <w:noProof/>
          <w:lang w:val="ro-RO"/>
        </w:rPr>
      </w:pPr>
      <w:r w:rsidRPr="009F17DF">
        <w:rPr>
          <w:rFonts w:ascii="Arial" w:hAnsi="Arial" w:cs="Arial"/>
          <w:noProof/>
          <w:lang w:val="ro-RO"/>
        </w:rPr>
        <w:t>În ceea ce privește ocuparea forței de muncă, obiectivele naționale luate împreună depășesc obiectivul principal al UE.</w:t>
      </w:r>
    </w:p>
    <w:p w:rsidR="009F17DF" w:rsidRPr="009F17DF" w:rsidRDefault="009F17DF" w:rsidP="009F17DF">
      <w:pPr>
        <w:pStyle w:val="ListParagraph"/>
        <w:numPr>
          <w:ilvl w:val="0"/>
          <w:numId w:val="2"/>
        </w:numPr>
        <w:spacing w:after="0" w:line="480" w:lineRule="auto"/>
        <w:jc w:val="both"/>
        <w:rPr>
          <w:rFonts w:ascii="Arial" w:hAnsi="Arial" w:cs="Arial"/>
          <w:noProof/>
          <w:lang w:val="ro-RO"/>
        </w:rPr>
      </w:pPr>
      <w:r w:rsidRPr="009F17DF">
        <w:rPr>
          <w:rFonts w:ascii="Arial" w:hAnsi="Arial" w:cs="Arial"/>
          <w:noProof/>
          <w:lang w:val="ro-RO"/>
        </w:rPr>
        <w:t>În ceea ce privește învățarea adulților, obiectivele propuse de statele membre până acum aproape ating obiectivul principal al UE.</w:t>
      </w:r>
    </w:p>
    <w:p w:rsidR="009F17DF" w:rsidRDefault="009F17DF" w:rsidP="009F17DF">
      <w:pPr>
        <w:pStyle w:val="ListParagraph"/>
        <w:numPr>
          <w:ilvl w:val="0"/>
          <w:numId w:val="2"/>
        </w:numPr>
        <w:spacing w:after="0" w:line="480" w:lineRule="auto"/>
        <w:jc w:val="both"/>
        <w:rPr>
          <w:rFonts w:ascii="Arial" w:hAnsi="Arial" w:cs="Arial"/>
          <w:noProof/>
          <w:lang w:val="ro-RO"/>
        </w:rPr>
      </w:pPr>
      <w:r w:rsidRPr="009F17DF">
        <w:rPr>
          <w:rFonts w:ascii="Arial" w:hAnsi="Arial" w:cs="Arial"/>
          <w:noProof/>
          <w:lang w:val="ro-RO"/>
        </w:rPr>
        <w:t>În ceea ce privește reducerea numărului de persoane expuse riscului de sărăcie sau excluziune socială, obiectivele naționale luate împreună depășesc obiectivul principal al UE.</w:t>
      </w:r>
    </w:p>
    <w:tbl>
      <w:tblPr>
        <w:tblStyle w:val="TableGrid"/>
        <w:tblW w:w="9242" w:type="dxa"/>
        <w:tblLook w:val="04A0" w:firstRow="1" w:lastRow="0" w:firstColumn="1" w:lastColumn="0" w:noHBand="0" w:noVBand="1"/>
      </w:tblPr>
      <w:tblGrid>
        <w:gridCol w:w="3652"/>
        <w:gridCol w:w="2693"/>
        <w:gridCol w:w="2897"/>
      </w:tblGrid>
      <w:tr w:rsidR="009F17DF" w:rsidTr="009F17DF">
        <w:tc>
          <w:tcPr>
            <w:tcW w:w="3652" w:type="dxa"/>
            <w:vAlign w:val="center"/>
          </w:tcPr>
          <w:p w:rsidR="009F17DF" w:rsidRPr="009F17DF" w:rsidRDefault="009F17DF" w:rsidP="009F17DF">
            <w:pPr>
              <w:spacing w:line="480" w:lineRule="auto"/>
              <w:jc w:val="center"/>
              <w:rPr>
                <w:rFonts w:ascii="Arial" w:hAnsi="Arial" w:cs="Arial"/>
                <w:b/>
                <w:noProof/>
                <w:lang w:val="ro-RO"/>
              </w:rPr>
            </w:pPr>
            <w:r w:rsidRPr="009F17DF">
              <w:rPr>
                <w:rFonts w:ascii="Arial" w:hAnsi="Arial" w:cs="Arial"/>
                <w:b/>
                <w:noProof/>
                <w:lang w:val="ro-RO"/>
              </w:rPr>
              <w:t>Ţintă</w:t>
            </w:r>
          </w:p>
        </w:tc>
        <w:tc>
          <w:tcPr>
            <w:tcW w:w="2693" w:type="dxa"/>
            <w:vAlign w:val="center"/>
          </w:tcPr>
          <w:p w:rsidR="009F17DF" w:rsidRPr="009F17DF" w:rsidRDefault="009F17DF" w:rsidP="009F17DF">
            <w:pPr>
              <w:spacing w:line="480" w:lineRule="auto"/>
              <w:jc w:val="center"/>
              <w:rPr>
                <w:rFonts w:ascii="Arial" w:hAnsi="Arial" w:cs="Arial"/>
                <w:b/>
                <w:noProof/>
                <w:lang w:val="ro-RO"/>
              </w:rPr>
            </w:pPr>
            <w:r w:rsidRPr="009F17DF">
              <w:rPr>
                <w:rFonts w:ascii="Arial" w:hAnsi="Arial" w:cs="Arial"/>
                <w:b/>
                <w:noProof/>
                <w:lang w:val="ro-RO"/>
              </w:rPr>
              <w:t>Ț</w:t>
            </w:r>
            <w:r w:rsidRPr="009F17DF">
              <w:rPr>
                <w:rFonts w:ascii="Arial" w:hAnsi="Arial" w:cs="Arial"/>
                <w:b/>
                <w:noProof/>
                <w:lang w:val="ro-RO"/>
              </w:rPr>
              <w:t>inta UE pentru 2030</w:t>
            </w:r>
          </w:p>
        </w:tc>
        <w:tc>
          <w:tcPr>
            <w:tcW w:w="2897" w:type="dxa"/>
            <w:vAlign w:val="center"/>
          </w:tcPr>
          <w:p w:rsidR="009F17DF" w:rsidRPr="009F17DF" w:rsidRDefault="009F17DF" w:rsidP="009F17DF">
            <w:pPr>
              <w:jc w:val="center"/>
              <w:rPr>
                <w:rFonts w:ascii="Arial" w:hAnsi="Arial" w:cs="Arial"/>
                <w:b/>
                <w:noProof/>
                <w:lang w:val="ro-RO"/>
              </w:rPr>
            </w:pPr>
            <w:r w:rsidRPr="009F17DF">
              <w:rPr>
                <w:rFonts w:ascii="Arial" w:hAnsi="Arial" w:cs="Arial"/>
                <w:b/>
                <w:noProof/>
                <w:lang w:val="ro-RO"/>
              </w:rPr>
              <w:t>Angajamente naționale agregate</w:t>
            </w:r>
          </w:p>
        </w:tc>
      </w:tr>
      <w:tr w:rsidR="009F17DF" w:rsidTr="009F17DF">
        <w:tc>
          <w:tcPr>
            <w:tcW w:w="3652" w:type="dxa"/>
          </w:tcPr>
          <w:p w:rsidR="009F17DF" w:rsidRDefault="009F17DF" w:rsidP="009F17DF">
            <w:pPr>
              <w:spacing w:line="480" w:lineRule="auto"/>
              <w:jc w:val="both"/>
              <w:rPr>
                <w:rFonts w:ascii="Arial" w:hAnsi="Arial" w:cs="Arial"/>
                <w:noProof/>
                <w:lang w:val="ro-RO"/>
              </w:rPr>
            </w:pPr>
            <w:r>
              <w:rPr>
                <w:rFonts w:ascii="Arial" w:hAnsi="Arial" w:cs="Arial"/>
                <w:noProof/>
                <w:lang w:val="ro-RO"/>
              </w:rPr>
              <w:t>Rata de angajare</w:t>
            </w:r>
          </w:p>
        </w:tc>
        <w:tc>
          <w:tcPr>
            <w:tcW w:w="2693" w:type="dxa"/>
          </w:tcPr>
          <w:p w:rsidR="009F17DF" w:rsidRDefault="009F17DF" w:rsidP="009F17DF">
            <w:pPr>
              <w:spacing w:line="480" w:lineRule="auto"/>
              <w:jc w:val="center"/>
              <w:rPr>
                <w:rFonts w:ascii="Arial" w:hAnsi="Arial" w:cs="Arial"/>
                <w:noProof/>
                <w:lang w:val="ro-RO"/>
              </w:rPr>
            </w:pPr>
            <w:r>
              <w:rPr>
                <w:rFonts w:ascii="Arial" w:hAnsi="Arial" w:cs="Arial"/>
                <w:noProof/>
                <w:lang w:val="ro-RO"/>
              </w:rPr>
              <w:t>78%</w:t>
            </w:r>
          </w:p>
        </w:tc>
        <w:tc>
          <w:tcPr>
            <w:tcW w:w="2897" w:type="dxa"/>
          </w:tcPr>
          <w:p w:rsidR="009F17DF" w:rsidRDefault="009F17DF" w:rsidP="009F17DF">
            <w:pPr>
              <w:spacing w:line="480" w:lineRule="auto"/>
              <w:jc w:val="center"/>
              <w:rPr>
                <w:rFonts w:ascii="Arial" w:hAnsi="Arial" w:cs="Arial"/>
                <w:noProof/>
                <w:lang w:val="ro-RO"/>
              </w:rPr>
            </w:pPr>
            <w:r>
              <w:rPr>
                <w:rFonts w:ascii="Arial" w:hAnsi="Arial" w:cs="Arial"/>
                <w:noProof/>
                <w:lang w:val="ro-RO"/>
              </w:rPr>
              <w:t>78,5%</w:t>
            </w:r>
          </w:p>
        </w:tc>
      </w:tr>
      <w:tr w:rsidR="009F17DF" w:rsidTr="009F17DF">
        <w:tc>
          <w:tcPr>
            <w:tcW w:w="3652" w:type="dxa"/>
          </w:tcPr>
          <w:p w:rsidR="009F17DF" w:rsidRDefault="009F17DF" w:rsidP="009F17DF">
            <w:pPr>
              <w:spacing w:line="480" w:lineRule="auto"/>
              <w:jc w:val="both"/>
              <w:rPr>
                <w:rFonts w:ascii="Arial" w:hAnsi="Arial" w:cs="Arial"/>
                <w:noProof/>
                <w:lang w:val="ro-RO"/>
              </w:rPr>
            </w:pPr>
            <w:r w:rsidRPr="009F17DF">
              <w:rPr>
                <w:rFonts w:ascii="Arial" w:hAnsi="Arial" w:cs="Arial"/>
                <w:noProof/>
                <w:lang w:val="ro-RO"/>
              </w:rPr>
              <w:t>Part</w:t>
            </w:r>
            <w:r>
              <w:rPr>
                <w:rFonts w:ascii="Arial" w:hAnsi="Arial" w:cs="Arial"/>
                <w:noProof/>
                <w:lang w:val="ro-RO"/>
              </w:rPr>
              <w:t>iciparea la învățarea adulților</w:t>
            </w:r>
          </w:p>
        </w:tc>
        <w:tc>
          <w:tcPr>
            <w:tcW w:w="2693" w:type="dxa"/>
          </w:tcPr>
          <w:p w:rsidR="009F17DF" w:rsidRDefault="009F17DF" w:rsidP="009F17DF">
            <w:pPr>
              <w:spacing w:line="480" w:lineRule="auto"/>
              <w:jc w:val="center"/>
              <w:rPr>
                <w:rFonts w:ascii="Arial" w:hAnsi="Arial" w:cs="Arial"/>
                <w:noProof/>
                <w:lang w:val="ro-RO"/>
              </w:rPr>
            </w:pPr>
            <w:r>
              <w:rPr>
                <w:rFonts w:ascii="Arial" w:hAnsi="Arial" w:cs="Arial"/>
                <w:noProof/>
                <w:lang w:val="ro-RO"/>
              </w:rPr>
              <w:t>60%</w:t>
            </w:r>
          </w:p>
        </w:tc>
        <w:tc>
          <w:tcPr>
            <w:tcW w:w="2897" w:type="dxa"/>
          </w:tcPr>
          <w:p w:rsidR="009F17DF" w:rsidRDefault="009F17DF" w:rsidP="009F17DF">
            <w:pPr>
              <w:spacing w:line="480" w:lineRule="auto"/>
              <w:jc w:val="center"/>
              <w:rPr>
                <w:rFonts w:ascii="Arial" w:hAnsi="Arial" w:cs="Arial"/>
                <w:noProof/>
                <w:lang w:val="ro-RO"/>
              </w:rPr>
            </w:pPr>
            <w:r>
              <w:rPr>
                <w:rFonts w:ascii="Arial" w:hAnsi="Arial" w:cs="Arial"/>
                <w:noProof/>
                <w:lang w:val="ro-RO"/>
              </w:rPr>
              <w:t>57,6%</w:t>
            </w:r>
          </w:p>
        </w:tc>
      </w:tr>
      <w:tr w:rsidR="009F17DF" w:rsidTr="009F17DF">
        <w:tc>
          <w:tcPr>
            <w:tcW w:w="3652" w:type="dxa"/>
          </w:tcPr>
          <w:p w:rsidR="009F17DF" w:rsidRDefault="009F17DF" w:rsidP="009F17DF">
            <w:pPr>
              <w:spacing w:line="480" w:lineRule="auto"/>
              <w:jc w:val="both"/>
              <w:rPr>
                <w:rFonts w:ascii="Arial" w:hAnsi="Arial" w:cs="Arial"/>
                <w:noProof/>
                <w:lang w:val="ro-RO"/>
              </w:rPr>
            </w:pPr>
            <w:r>
              <w:rPr>
                <w:rFonts w:ascii="Arial" w:hAnsi="Arial" w:cs="Arial"/>
                <w:noProof/>
                <w:lang w:val="ro-RO"/>
              </w:rPr>
              <w:t>Reducerea sărăciei</w:t>
            </w:r>
          </w:p>
        </w:tc>
        <w:tc>
          <w:tcPr>
            <w:tcW w:w="2693" w:type="dxa"/>
          </w:tcPr>
          <w:p w:rsidR="009F17DF" w:rsidRDefault="009F17DF" w:rsidP="009F17DF">
            <w:pPr>
              <w:spacing w:line="480" w:lineRule="auto"/>
              <w:jc w:val="center"/>
              <w:rPr>
                <w:rFonts w:ascii="Arial" w:hAnsi="Arial" w:cs="Arial"/>
                <w:noProof/>
                <w:lang w:val="ro-RO"/>
              </w:rPr>
            </w:pPr>
            <w:r>
              <w:rPr>
                <w:rFonts w:ascii="Arial" w:hAnsi="Arial" w:cs="Arial"/>
                <w:noProof/>
                <w:lang w:val="ro-RO"/>
              </w:rPr>
              <w:t>-15 milioane</w:t>
            </w:r>
          </w:p>
        </w:tc>
        <w:tc>
          <w:tcPr>
            <w:tcW w:w="2897" w:type="dxa"/>
          </w:tcPr>
          <w:p w:rsidR="009F17DF" w:rsidRDefault="009F17DF" w:rsidP="009F17DF">
            <w:pPr>
              <w:spacing w:line="480" w:lineRule="auto"/>
              <w:jc w:val="center"/>
              <w:rPr>
                <w:rFonts w:ascii="Arial" w:hAnsi="Arial" w:cs="Arial"/>
                <w:noProof/>
                <w:lang w:val="ro-RO"/>
              </w:rPr>
            </w:pPr>
            <w:r w:rsidRPr="009F17DF">
              <w:rPr>
                <w:rFonts w:ascii="Arial" w:hAnsi="Arial" w:cs="Arial"/>
                <w:noProof/>
                <w:lang w:val="ro-RO"/>
              </w:rPr>
              <w:t>-15,6 milioane [1]</w:t>
            </w:r>
          </w:p>
        </w:tc>
      </w:tr>
    </w:tbl>
    <w:p w:rsidR="009F17DF" w:rsidRDefault="009F17DF" w:rsidP="009F17DF">
      <w:pPr>
        <w:spacing w:after="0" w:line="480" w:lineRule="auto"/>
        <w:jc w:val="both"/>
        <w:rPr>
          <w:rFonts w:ascii="Arial" w:hAnsi="Arial" w:cs="Arial"/>
          <w:noProof/>
          <w:lang w:val="ro-RO"/>
        </w:rPr>
      </w:pPr>
    </w:p>
    <w:p w:rsidR="00686199" w:rsidRPr="00686199" w:rsidRDefault="00686199" w:rsidP="00686199">
      <w:pPr>
        <w:spacing w:after="0" w:line="480" w:lineRule="auto"/>
        <w:jc w:val="both"/>
        <w:rPr>
          <w:rFonts w:ascii="Arial" w:hAnsi="Arial" w:cs="Arial"/>
          <w:noProof/>
          <w:lang w:val="ro-RO"/>
        </w:rPr>
      </w:pPr>
      <w:r w:rsidRPr="00686199">
        <w:rPr>
          <w:rFonts w:ascii="Arial" w:hAnsi="Arial" w:cs="Arial"/>
          <w:noProof/>
          <w:lang w:val="ro-RO"/>
        </w:rPr>
        <w:t>Acest rezultat pozitiv vine în ciuda contextului provocator al invaziei nejustificate a Ucrainei de către Rusia și a consecințelor sale sociale și economice și urmează consultărilor intense din partea statelor membre la diferite niveluri începând din toamn</w:t>
      </w:r>
      <w:r>
        <w:rPr>
          <w:rFonts w:ascii="Arial" w:hAnsi="Arial" w:cs="Arial"/>
          <w:noProof/>
          <w:lang w:val="ro-RO"/>
        </w:rPr>
        <w:t>a anului 2021.</w:t>
      </w:r>
    </w:p>
    <w:p w:rsidR="00686199" w:rsidRPr="00686199" w:rsidRDefault="00686199" w:rsidP="00686199">
      <w:pPr>
        <w:spacing w:after="0" w:line="480" w:lineRule="auto"/>
        <w:jc w:val="both"/>
        <w:rPr>
          <w:rFonts w:ascii="Arial" w:hAnsi="Arial" w:cs="Arial"/>
          <w:noProof/>
          <w:u w:val="single"/>
          <w:lang w:val="ro-RO"/>
        </w:rPr>
      </w:pPr>
      <w:r w:rsidRPr="00686199">
        <w:rPr>
          <w:rFonts w:ascii="Arial" w:hAnsi="Arial" w:cs="Arial"/>
          <w:noProof/>
          <w:u w:val="single"/>
          <w:lang w:val="ro-RO"/>
        </w:rPr>
        <w:t>Pasii urmatori</w:t>
      </w:r>
    </w:p>
    <w:p w:rsidR="00686199" w:rsidRPr="00686199" w:rsidRDefault="00686199" w:rsidP="00686199">
      <w:pPr>
        <w:spacing w:after="0" w:line="480" w:lineRule="auto"/>
        <w:jc w:val="both"/>
        <w:rPr>
          <w:rFonts w:ascii="Arial" w:hAnsi="Arial" w:cs="Arial"/>
          <w:noProof/>
          <w:lang w:val="ro-RO"/>
        </w:rPr>
      </w:pPr>
      <w:r w:rsidRPr="00686199">
        <w:rPr>
          <w:rFonts w:ascii="Arial" w:hAnsi="Arial" w:cs="Arial"/>
          <w:noProof/>
          <w:lang w:val="ro-RO"/>
        </w:rPr>
        <w:t>Comisia va monitoriza îndeaproape punerea în aplicare a acestora în contextul ciclului 2023 al semestrului european, cadrul de coordonare al UE pentru politicile economice și de ocupare a forței de muncă.</w:t>
      </w:r>
    </w:p>
    <w:p w:rsidR="00686199" w:rsidRPr="00686199" w:rsidRDefault="00686199" w:rsidP="00686199">
      <w:pPr>
        <w:spacing w:after="0" w:line="480" w:lineRule="auto"/>
        <w:jc w:val="both"/>
        <w:rPr>
          <w:rFonts w:ascii="Arial" w:hAnsi="Arial" w:cs="Arial"/>
          <w:noProof/>
          <w:lang w:val="ro-RO"/>
        </w:rPr>
      </w:pPr>
      <w:r w:rsidRPr="00686199">
        <w:rPr>
          <w:rFonts w:ascii="Arial" w:hAnsi="Arial" w:cs="Arial"/>
          <w:noProof/>
          <w:lang w:val="ro-RO"/>
        </w:rPr>
        <w:lastRenderedPageBreak/>
        <w:t>Parlamentul European, Consiliul și Comisia au proclamat Pilonul European al Drepturilor Sociale în 2017 la Summit-ul de la Göteborg. Pilonul stabilește 20 de principii și drepturi cheie esențiale pentru piețele muncii și sistemele de bunăstare echitabile și funcționale în secolul XXI. Pilonul este structurat în trei capitole: (1) Egalitatea de șanse și accesul la piața muncii; (2) Condiții echitabile de muncă; și (3) protecție socială și incluziune.</w:t>
      </w:r>
    </w:p>
    <w:p w:rsidR="00686199" w:rsidRPr="00686199" w:rsidRDefault="00686199" w:rsidP="00686199">
      <w:pPr>
        <w:spacing w:after="0" w:line="480" w:lineRule="auto"/>
        <w:jc w:val="both"/>
        <w:rPr>
          <w:rFonts w:ascii="Arial" w:hAnsi="Arial" w:cs="Arial"/>
          <w:noProof/>
          <w:lang w:val="ro-RO"/>
        </w:rPr>
      </w:pPr>
    </w:p>
    <w:p w:rsidR="00686199" w:rsidRPr="00686199" w:rsidRDefault="00686199" w:rsidP="00686199">
      <w:pPr>
        <w:spacing w:after="0" w:line="480" w:lineRule="auto"/>
        <w:jc w:val="both"/>
        <w:rPr>
          <w:rFonts w:ascii="Arial" w:hAnsi="Arial" w:cs="Arial"/>
          <w:noProof/>
          <w:lang w:val="ro-RO"/>
        </w:rPr>
      </w:pPr>
      <w:r w:rsidRPr="00686199">
        <w:rPr>
          <w:rFonts w:ascii="Arial" w:hAnsi="Arial" w:cs="Arial"/>
          <w:noProof/>
          <w:lang w:val="ro-RO"/>
        </w:rPr>
        <w:t>În Planul de acțiune pentru pilonul european al drepturilor sociale, aceste principii au fost transformate în acțiuni concrete în beneficiul cetățenilor, propunând trei obiective sociale la nivelul UE care urmează să fie atinse până în 2030. În planul de acțiune, Comisia a cerut statelor membre să-și definească propriile obiective naționale. obiective, ca o contribuție la acest efort comun. Summitul social de la Porto, 7-8 mai 2021, a oferit ocazia de a reafirma angajamentul și ambiția statelor membre. La 7 mai 2021, partenerii UE (instituțiile UE, partenerii sociali și organizațiile societății civile) au semnat cele trei obiective principale pentru 2030 stabilite în Planul de acțiune al Comisiei pentru Pilonul european al drepturilor sociale, într-un angajament social comun de la Porto. La 8 mai 2021, șefii de stat sau de guvern din UE au adoptat Declarația de la Porto, concentrându-se pe Europa socială. La 25 iunie 2021, Consiliul European a salutat obiectivele principale ale UE ale Planului de acțiune pentru Pilonul european al drepturilor sociale, în conformitate cu Declarația de la Porto.</w:t>
      </w:r>
    </w:p>
    <w:p w:rsidR="00686199" w:rsidRPr="00686199" w:rsidRDefault="00686199" w:rsidP="00686199">
      <w:pPr>
        <w:spacing w:after="0" w:line="480" w:lineRule="auto"/>
        <w:jc w:val="both"/>
        <w:rPr>
          <w:rFonts w:ascii="Arial" w:hAnsi="Arial" w:cs="Arial"/>
          <w:noProof/>
          <w:lang w:val="ro-RO"/>
        </w:rPr>
      </w:pPr>
    </w:p>
    <w:p w:rsidR="00686199" w:rsidRDefault="00686199" w:rsidP="00686199">
      <w:pPr>
        <w:spacing w:after="0" w:line="480" w:lineRule="auto"/>
        <w:jc w:val="both"/>
        <w:rPr>
          <w:rFonts w:ascii="Arial" w:hAnsi="Arial" w:cs="Arial"/>
          <w:noProof/>
          <w:lang w:val="ro-RO"/>
        </w:rPr>
      </w:pPr>
      <w:r w:rsidRPr="00686199">
        <w:rPr>
          <w:rFonts w:ascii="Arial" w:hAnsi="Arial" w:cs="Arial"/>
          <w:noProof/>
          <w:lang w:val="ro-RO"/>
        </w:rPr>
        <w:t>Țintele naționale prezentate astăzi sunt rezultatul unui proces intens de consultare din partea statelor membre, care a inclus consultări interne cu actori sociali cheie (de exemplu, parlamentele naționale, partenerii sociali, organizațiile neguvernamentale, autoritățile locale sau mediul academic), întâlniri bilaterale cu Comisia și reuniuni multilaterale în cadrul Comitetului pentru ocuparea forței de muncă și al Comitetului de protecție socială.</w:t>
      </w:r>
    </w:p>
    <w:p w:rsidR="00931999" w:rsidRDefault="00931999" w:rsidP="00686199">
      <w:pPr>
        <w:spacing w:after="0" w:line="480" w:lineRule="auto"/>
        <w:jc w:val="both"/>
        <w:rPr>
          <w:rFonts w:ascii="Arial" w:hAnsi="Arial" w:cs="Arial"/>
          <w:noProof/>
          <w:lang w:val="ro-RO"/>
        </w:rPr>
      </w:pPr>
    </w:p>
    <w:p w:rsidR="00931999" w:rsidRPr="00931999" w:rsidRDefault="00931999" w:rsidP="00686199">
      <w:pPr>
        <w:spacing w:after="0" w:line="480" w:lineRule="auto"/>
        <w:jc w:val="both"/>
        <w:rPr>
          <w:rFonts w:ascii="Arial" w:hAnsi="Arial" w:cs="Arial"/>
          <w:i/>
          <w:noProof/>
          <w:lang w:val="ro-RO"/>
        </w:rPr>
      </w:pPr>
      <w:r w:rsidRPr="00931999">
        <w:rPr>
          <w:rFonts w:ascii="Arial" w:hAnsi="Arial" w:cs="Arial"/>
          <w:i/>
          <w:noProof/>
          <w:lang w:val="ro-RO"/>
        </w:rPr>
        <w:t>Tradus de: Madalina Coman</w:t>
      </w:r>
    </w:p>
    <w:p w:rsidR="00931999" w:rsidRPr="00931999" w:rsidRDefault="00931999" w:rsidP="00686199">
      <w:pPr>
        <w:spacing w:after="0" w:line="480" w:lineRule="auto"/>
        <w:jc w:val="both"/>
        <w:rPr>
          <w:rFonts w:ascii="Arial" w:hAnsi="Arial" w:cs="Arial"/>
          <w:i/>
          <w:noProof/>
          <w:lang w:val="ro-RO"/>
        </w:rPr>
      </w:pPr>
      <w:r w:rsidRPr="00931999">
        <w:rPr>
          <w:rFonts w:ascii="Arial" w:hAnsi="Arial" w:cs="Arial"/>
          <w:i/>
          <w:noProof/>
          <w:lang w:val="ro-RO"/>
        </w:rPr>
        <w:t xml:space="preserve">Sursa: </w:t>
      </w:r>
      <w:hyperlink r:id="rId6" w:history="1">
        <w:r w:rsidRPr="00DA4122">
          <w:rPr>
            <w:rStyle w:val="Hyperlink"/>
            <w:rFonts w:ascii="Arial" w:hAnsi="Arial" w:cs="Arial"/>
            <w:i/>
            <w:noProof/>
            <w:lang w:val="ro-RO"/>
          </w:rPr>
          <w:t>https://ec.europa.eu/commission/presscorner/detail/en/ip_22_3782</w:t>
        </w:r>
      </w:hyperlink>
      <w:r>
        <w:rPr>
          <w:rFonts w:ascii="Arial" w:hAnsi="Arial" w:cs="Arial"/>
          <w:i/>
          <w:noProof/>
          <w:lang w:val="ro-RO"/>
        </w:rPr>
        <w:t xml:space="preserve"> </w:t>
      </w:r>
    </w:p>
    <w:p w:rsidR="009F17DF" w:rsidRPr="009F17DF" w:rsidRDefault="009F17DF" w:rsidP="009F17DF">
      <w:pPr>
        <w:spacing w:after="0" w:line="480" w:lineRule="auto"/>
        <w:jc w:val="both"/>
        <w:rPr>
          <w:rFonts w:ascii="Arial" w:hAnsi="Arial" w:cs="Arial"/>
          <w:noProof/>
          <w:lang w:val="ro-RO"/>
        </w:rPr>
      </w:pPr>
      <w:bookmarkStart w:id="0" w:name="_GoBack"/>
      <w:bookmarkEnd w:id="0"/>
    </w:p>
    <w:sectPr w:rsidR="009F17DF" w:rsidRPr="009F17DF" w:rsidSect="00686199">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349BC"/>
    <w:multiLevelType w:val="hybridMultilevel"/>
    <w:tmpl w:val="0F68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648A4"/>
    <w:multiLevelType w:val="hybridMultilevel"/>
    <w:tmpl w:val="FFC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DF"/>
    <w:rsid w:val="004C2C0E"/>
    <w:rsid w:val="00686199"/>
    <w:rsid w:val="00931999"/>
    <w:rsid w:val="009F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F17DF"/>
    <w:rPr>
      <w:rFonts w:ascii="Courier New" w:eastAsia="Times New Roman" w:hAnsi="Courier New" w:cs="Courier New"/>
      <w:sz w:val="20"/>
      <w:szCs w:val="20"/>
      <w:lang w:eastAsia="en-GB"/>
    </w:rPr>
  </w:style>
  <w:style w:type="character" w:customStyle="1" w:styleId="y2iqfc">
    <w:name w:val="y2iqfc"/>
    <w:basedOn w:val="DefaultParagraphFont"/>
    <w:rsid w:val="009F17DF"/>
  </w:style>
  <w:style w:type="paragraph" w:styleId="ListParagraph">
    <w:name w:val="List Paragraph"/>
    <w:basedOn w:val="Normal"/>
    <w:uiPriority w:val="34"/>
    <w:qFormat/>
    <w:rsid w:val="009F17DF"/>
    <w:pPr>
      <w:ind w:left="720"/>
      <w:contextualSpacing/>
    </w:pPr>
  </w:style>
  <w:style w:type="table" w:styleId="TableGrid">
    <w:name w:val="Table Grid"/>
    <w:basedOn w:val="TableNormal"/>
    <w:uiPriority w:val="59"/>
    <w:rsid w:val="009F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1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F17DF"/>
    <w:rPr>
      <w:rFonts w:ascii="Courier New" w:eastAsia="Times New Roman" w:hAnsi="Courier New" w:cs="Courier New"/>
      <w:sz w:val="20"/>
      <w:szCs w:val="20"/>
      <w:lang w:eastAsia="en-GB"/>
    </w:rPr>
  </w:style>
  <w:style w:type="character" w:customStyle="1" w:styleId="y2iqfc">
    <w:name w:val="y2iqfc"/>
    <w:basedOn w:val="DefaultParagraphFont"/>
    <w:rsid w:val="009F17DF"/>
  </w:style>
  <w:style w:type="paragraph" w:styleId="ListParagraph">
    <w:name w:val="List Paragraph"/>
    <w:basedOn w:val="Normal"/>
    <w:uiPriority w:val="34"/>
    <w:qFormat/>
    <w:rsid w:val="009F17DF"/>
    <w:pPr>
      <w:ind w:left="720"/>
      <w:contextualSpacing/>
    </w:pPr>
  </w:style>
  <w:style w:type="table" w:styleId="TableGrid">
    <w:name w:val="Table Grid"/>
    <w:basedOn w:val="TableNormal"/>
    <w:uiPriority w:val="59"/>
    <w:rsid w:val="009F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1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mmission/presscorner/detail/en/ip_22_37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2022-09-01T09:01:00Z</dcterms:created>
  <dcterms:modified xsi:type="dcterms:W3CDTF">2022-09-01T09:13:00Z</dcterms:modified>
</cp:coreProperties>
</file>